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9F45D0">
        <w:tc>
          <w:tcPr>
            <w:tcW w:w="156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Date</w:t>
            </w:r>
          </w:p>
        </w:tc>
        <w:tc>
          <w:tcPr>
            <w:tcW w:w="8777" w:type="dxa"/>
            <w:shd w:val="clear" w:color="auto" w:fill="D5DCE4" w:themeFill="text2" w:themeFillTint="33"/>
          </w:tcPr>
          <w:p w14:paraId="2A9363FC" w14:textId="0913753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7A5EA8" w:rsidRPr="00E43930" w14:paraId="44EFCB0B" w14:textId="77777777" w:rsidTr="009F45D0">
        <w:tc>
          <w:tcPr>
            <w:tcW w:w="156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77" w:type="dxa"/>
            <w:shd w:val="clear" w:color="auto" w:fill="D5DCE4" w:themeFill="text2" w:themeFillTint="33"/>
          </w:tcPr>
          <w:p w14:paraId="4723D6AF" w14:textId="35B2E37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7A5EA8" w:rsidRPr="00E43930" w14:paraId="047E8170" w14:textId="77777777" w:rsidTr="009F45D0">
        <w:tc>
          <w:tcPr>
            <w:tcW w:w="156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77" w:type="dxa"/>
            <w:shd w:val="clear" w:color="auto" w:fill="D5DCE4" w:themeFill="text2" w:themeFillTint="33"/>
          </w:tcPr>
          <w:p w14:paraId="36701265" w14:textId="3DC5837E" w:rsidR="007A5EA8" w:rsidRPr="00E43930" w:rsidRDefault="009F45D0">
            <w:pPr>
              <w:rPr>
                <w:rFonts w:ascii="Univers Condensed" w:hAnsi="Univers Condensed"/>
                <w:sz w:val="24"/>
                <w:szCs w:val="22"/>
                <w:lang w:val="fr-CA"/>
              </w:rPr>
            </w:pPr>
            <w:r w:rsidRPr="009F45D0">
              <w:rPr>
                <w:rFonts w:ascii="Univers Condensed" w:hAnsi="Univers Condensed"/>
                <w:b/>
                <w:bCs/>
                <w:color w:val="C00000"/>
                <w:sz w:val="24"/>
                <w:szCs w:val="22"/>
                <w:lang w:val="fr-CA"/>
              </w:rPr>
              <w:t>MCA</w:t>
            </w:r>
            <w:r w:rsidR="00241DE1" w:rsidRPr="009F45D0">
              <w:rPr>
                <w:rFonts w:ascii="Univers Condensed" w:hAnsi="Univers Condensed"/>
                <w:b/>
                <w:bCs/>
                <w:color w:val="C00000"/>
                <w:sz w:val="24"/>
                <w:szCs w:val="22"/>
                <w:lang w:val="fr-CA"/>
              </w:rPr>
              <w:t>20200917-1</w:t>
            </w:r>
            <w:r w:rsidR="00241DE1" w:rsidRPr="009F45D0">
              <w:rPr>
                <w:rFonts w:ascii="Univers Condensed" w:hAnsi="Univers Condensed"/>
                <w:color w:val="C00000"/>
                <w:sz w:val="24"/>
                <w:szCs w:val="22"/>
                <w:lang w:val="fr-CA"/>
              </w:rPr>
              <w:t xml:space="preserve"> </w:t>
            </w:r>
            <w:r w:rsidR="00241DE1" w:rsidRPr="00E43930">
              <w:rPr>
                <w:rFonts w:ascii="Univers Condensed" w:hAnsi="Univers Condensed"/>
                <w:sz w:val="24"/>
                <w:szCs w:val="22"/>
                <w:lang w:val="fr-CA"/>
              </w:rPr>
              <w:t>Accélération des processus administratifs de paiements, de reçus de charité et de chèques</w:t>
            </w:r>
          </w:p>
        </w:tc>
      </w:tr>
      <w:tr w:rsidR="007A5EA8" w:rsidRPr="00E43930" w14:paraId="36D4DC5E" w14:textId="77777777" w:rsidTr="009F45D0">
        <w:tc>
          <w:tcPr>
            <w:tcW w:w="156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77" w:type="dxa"/>
            <w:shd w:val="clear" w:color="auto" w:fill="D5DCE4" w:themeFill="text2" w:themeFillTint="33"/>
          </w:tcPr>
          <w:p w14:paraId="57A6D8B7" w14:textId="7750BAA4"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Clément Laporte</w:t>
            </w:r>
            <w:r w:rsidR="00E43930" w:rsidRPr="00E43930">
              <w:rPr>
                <w:rFonts w:ascii="Univers Condensed" w:hAnsi="Univers Condensed"/>
                <w:sz w:val="24"/>
                <w:szCs w:val="22"/>
                <w:lang w:val="fr-CA"/>
              </w:rPr>
              <w:t xml:space="preserve"> (directeur exécutif) ; Claude Hallée (coordonnateur général) ; Raymond Desjardins (membre CA)</w:t>
            </w:r>
          </w:p>
        </w:tc>
      </w:tr>
      <w:tr w:rsidR="00E43930" w:rsidRPr="00E43930" w14:paraId="2792CE78" w14:textId="77777777" w:rsidTr="00E43930">
        <w:trPr>
          <w:cantSplit/>
          <w:trHeight w:val="1134"/>
        </w:trPr>
        <w:tc>
          <w:tcPr>
            <w:tcW w:w="567" w:type="dxa"/>
            <w:vMerge w:val="restart"/>
            <w:textDirection w:val="btLr"/>
          </w:tcPr>
          <w:p w14:paraId="043869E0" w14:textId="31326E14" w:rsidR="00E43930" w:rsidRPr="00E43930" w:rsidRDefault="00E43930"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9F45D0" w:rsidRPr="009F45D0">
              <w:rPr>
                <w:rFonts w:ascii="Univers Condensed" w:hAnsi="Univers Condensed"/>
                <w:b/>
                <w:bCs/>
                <w:color w:val="C00000"/>
                <w:sz w:val="28"/>
                <w:szCs w:val="24"/>
                <w:lang w:val="fr-CA"/>
              </w:rPr>
              <w:t>MCA</w:t>
            </w:r>
            <w:r w:rsidRPr="009F45D0">
              <w:rPr>
                <w:rFonts w:ascii="Univers Condensed" w:hAnsi="Univers Condensed"/>
                <w:b/>
                <w:bCs/>
                <w:color w:val="C00000"/>
                <w:sz w:val="28"/>
                <w:szCs w:val="24"/>
                <w:lang w:val="fr-CA"/>
              </w:rPr>
              <w:t>20200917-1</w:t>
            </w:r>
          </w:p>
        </w:tc>
        <w:tc>
          <w:tcPr>
            <w:tcW w:w="993" w:type="dxa"/>
          </w:tcPr>
          <w:p w14:paraId="487E14A1" w14:textId="1A2FE53D"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77" w:type="dxa"/>
          </w:tcPr>
          <w:p w14:paraId="03427518" w14:textId="01DE965A" w:rsidR="00E43930" w:rsidRPr="00E43930" w:rsidRDefault="00E43930" w:rsidP="00E43930">
            <w:pPr>
              <w:spacing w:after="120"/>
              <w:rPr>
                <w:rFonts w:ascii="Univers Condensed" w:hAnsi="Univers Condensed"/>
                <w:sz w:val="24"/>
                <w:szCs w:val="22"/>
                <w:lang w:val="fr-CA"/>
              </w:rPr>
            </w:pPr>
            <w:r w:rsidRPr="00E43930">
              <w:rPr>
                <w:rFonts w:ascii="Univers Condensed" w:hAnsi="Univers Condensed"/>
                <w:sz w:val="24"/>
                <w:szCs w:val="22"/>
                <w:lang w:val="fr-CA"/>
              </w:rPr>
              <w:t xml:space="preserve">Les processus habituels de signature des chèques, reçus de charité et de certains paiements utilisent la poste entre les deux signataires autorisés. La lenteur de ces processus est augmentée par l’utilisation de la poste pour adresser les effets aux destinataires. Certaines plaintes ont été reçues face à la lenteur d’émission des reçus de charité. D’autres problèmes sont soulevés lors du transfert d’argent vers les intervenants ou jeunes bénéficiaires de nos programmes.  </w:t>
            </w:r>
          </w:p>
        </w:tc>
      </w:tr>
      <w:tr w:rsidR="00E43930" w:rsidRPr="00E43930" w14:paraId="05F9E2FC" w14:textId="77777777" w:rsidTr="00E43930">
        <w:trPr>
          <w:cantSplit/>
          <w:trHeight w:val="1134"/>
        </w:trPr>
        <w:tc>
          <w:tcPr>
            <w:tcW w:w="567" w:type="dxa"/>
            <w:vMerge/>
            <w:textDirection w:val="btLr"/>
          </w:tcPr>
          <w:p w14:paraId="526EEB9C"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4519F82" w14:textId="49CB680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77" w:type="dxa"/>
          </w:tcPr>
          <w:p w14:paraId="51884807" w14:textId="77777777" w:rsidR="00E43930" w:rsidRPr="00E43930" w:rsidRDefault="00E43930" w:rsidP="00E43930">
            <w:pPr>
              <w:spacing w:after="120"/>
              <w:rPr>
                <w:rFonts w:ascii="Univers Condensed" w:hAnsi="Univers Condensed"/>
                <w:sz w:val="24"/>
                <w:szCs w:val="22"/>
                <w:lang w:val="fr-CA"/>
              </w:rPr>
            </w:pPr>
            <w:r w:rsidRPr="00E43930">
              <w:rPr>
                <w:rFonts w:ascii="Univers Condensed" w:hAnsi="Univers Condensed"/>
                <w:sz w:val="24"/>
                <w:szCs w:val="22"/>
                <w:lang w:val="fr-CA"/>
              </w:rPr>
              <w:t xml:space="preserve">Compte tenu de l’évolution des technologies, il est souhaité de les intégrer dans nos processus de production d’effets comme les paiements, l’émission de reçus de charité et de chèques. Sans vouloir renoncer à l’utilisation papier de ces effets, il est temps de profiter des nouvelles technologies pour réaliser des gains de temps dans nos processus sans par ailleurs augmenter les risques de fraude. </w:t>
            </w:r>
          </w:p>
          <w:p w14:paraId="55E1186D" w14:textId="170D5956"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Pour ce faire, quatre actions sont à planifier :</w:t>
            </w:r>
          </w:p>
          <w:p w14:paraId="552DAAC2" w14:textId="77777777" w:rsidR="00E43930" w:rsidRPr="00E43930" w:rsidRDefault="00E43930" w:rsidP="00B34CC4">
            <w:pPr>
              <w:pStyle w:val="Paragraphedeliste"/>
              <w:numPr>
                <w:ilvl w:val="0"/>
                <w:numId w:val="8"/>
              </w:numPr>
              <w:rPr>
                <w:rFonts w:ascii="Univers Condensed" w:hAnsi="Univers Condensed"/>
                <w:sz w:val="24"/>
                <w:szCs w:val="22"/>
                <w:lang w:val="fr-CA"/>
              </w:rPr>
            </w:pPr>
            <w:r w:rsidRPr="00E43930">
              <w:rPr>
                <w:rFonts w:ascii="Univers Condensed" w:hAnsi="Univers Condensed"/>
                <w:sz w:val="24"/>
                <w:szCs w:val="22"/>
                <w:lang w:val="fr-CA"/>
              </w:rPr>
              <w:t>Analyser nos processus actuels pour identifier les endroits où il est possible de les accélérer ;</w:t>
            </w:r>
          </w:p>
          <w:p w14:paraId="5582C80D" w14:textId="15418D71" w:rsidR="00E43930" w:rsidRPr="00E43930" w:rsidRDefault="00E43930" w:rsidP="00B34CC4">
            <w:pPr>
              <w:pStyle w:val="Paragraphedeliste"/>
              <w:numPr>
                <w:ilvl w:val="0"/>
                <w:numId w:val="8"/>
              </w:numPr>
              <w:rPr>
                <w:rFonts w:ascii="Univers Condensed" w:hAnsi="Univers Condensed"/>
                <w:sz w:val="24"/>
                <w:szCs w:val="22"/>
                <w:lang w:val="fr-CA"/>
              </w:rPr>
            </w:pPr>
            <w:r w:rsidRPr="00E43930">
              <w:rPr>
                <w:rFonts w:ascii="Univers Condensed" w:hAnsi="Univers Condensed"/>
                <w:sz w:val="24"/>
                <w:szCs w:val="22"/>
                <w:lang w:val="fr-CA"/>
              </w:rPr>
              <w:t>Identifier les moyens technologiques pouvant nous aider à réduire la durée de ces processus ;</w:t>
            </w:r>
          </w:p>
          <w:p w14:paraId="744FDE37" w14:textId="77777777" w:rsidR="00E43930" w:rsidRPr="00E43930" w:rsidRDefault="00E43930" w:rsidP="00B34CC4">
            <w:pPr>
              <w:pStyle w:val="Paragraphedeliste"/>
              <w:numPr>
                <w:ilvl w:val="0"/>
                <w:numId w:val="8"/>
              </w:numPr>
              <w:rPr>
                <w:rFonts w:ascii="Univers Condensed" w:hAnsi="Univers Condensed"/>
                <w:sz w:val="24"/>
                <w:szCs w:val="22"/>
                <w:lang w:val="fr-CA"/>
              </w:rPr>
            </w:pPr>
            <w:r w:rsidRPr="00E43930">
              <w:rPr>
                <w:rFonts w:ascii="Univers Condensed" w:hAnsi="Univers Condensed"/>
                <w:sz w:val="24"/>
                <w:szCs w:val="22"/>
                <w:lang w:val="fr-CA"/>
              </w:rPr>
              <w:t>Mettre en pratique les nouvelles procédures en découlant ;</w:t>
            </w:r>
          </w:p>
          <w:p w14:paraId="4A60FDEA" w14:textId="6227D413" w:rsidR="00E43930" w:rsidRPr="00E43930" w:rsidRDefault="00E43930" w:rsidP="00E43930">
            <w:pPr>
              <w:pStyle w:val="Paragraphedeliste"/>
              <w:numPr>
                <w:ilvl w:val="0"/>
                <w:numId w:val="8"/>
              </w:numPr>
              <w:spacing w:after="120"/>
              <w:ind w:left="714" w:hanging="357"/>
              <w:rPr>
                <w:rFonts w:ascii="Univers Condensed" w:hAnsi="Univers Condensed"/>
                <w:sz w:val="24"/>
                <w:szCs w:val="22"/>
                <w:lang w:val="fr-CA"/>
              </w:rPr>
            </w:pPr>
            <w:r w:rsidRPr="00E43930">
              <w:rPr>
                <w:rFonts w:ascii="Univers Condensed" w:hAnsi="Univers Condensed"/>
                <w:sz w:val="24"/>
                <w:szCs w:val="22"/>
                <w:lang w:val="fr-CA"/>
              </w:rPr>
              <w:t>Inclure ces nouvelles procédures dans notre procédurier administratif.</w:t>
            </w:r>
          </w:p>
        </w:tc>
      </w:tr>
      <w:tr w:rsidR="00E43930" w:rsidRPr="00E43930" w14:paraId="328946AB" w14:textId="77777777" w:rsidTr="00E43930">
        <w:trPr>
          <w:cantSplit/>
          <w:trHeight w:val="1134"/>
        </w:trPr>
        <w:tc>
          <w:tcPr>
            <w:tcW w:w="567" w:type="dxa"/>
            <w:vMerge/>
            <w:textDirection w:val="btLr"/>
          </w:tcPr>
          <w:p w14:paraId="1AA500B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18CF7C" w14:textId="2657D823"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77" w:type="dxa"/>
          </w:tcPr>
          <w:p w14:paraId="1DDC9693" w14:textId="6C6273BB"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Le conseil exécutif verra au suivi et au pilotage du mandat.</w:t>
            </w:r>
          </w:p>
        </w:tc>
      </w:tr>
      <w:tr w:rsidR="00E43930" w:rsidRPr="00E43930" w14:paraId="76B79BB7" w14:textId="77777777" w:rsidTr="00E43930">
        <w:trPr>
          <w:cantSplit/>
          <w:trHeight w:val="1134"/>
        </w:trPr>
        <w:tc>
          <w:tcPr>
            <w:tcW w:w="567" w:type="dxa"/>
            <w:vMerge/>
            <w:textDirection w:val="btLr"/>
          </w:tcPr>
          <w:p w14:paraId="50CDD8B4"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3FF531A" w14:textId="745CE7C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77" w:type="dxa"/>
          </w:tcPr>
          <w:p w14:paraId="0A2FC068"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Nouvelles procédures reflétant l’accélération de ces processus administratifs</w:t>
            </w:r>
          </w:p>
          <w:p w14:paraId="37B33F04"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Mise en pratique des nouvelles procédures</w:t>
            </w:r>
          </w:p>
          <w:p w14:paraId="7523BA86" w14:textId="5F58A31F"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Ajout au procédurier administratif</w:t>
            </w:r>
          </w:p>
        </w:tc>
      </w:tr>
      <w:tr w:rsidR="00E43930" w:rsidRPr="00E43930" w14:paraId="51F00E26" w14:textId="77777777" w:rsidTr="00E43930">
        <w:trPr>
          <w:cantSplit/>
          <w:trHeight w:val="1134"/>
        </w:trPr>
        <w:tc>
          <w:tcPr>
            <w:tcW w:w="567" w:type="dxa"/>
            <w:vMerge/>
            <w:textDirection w:val="btLr"/>
          </w:tcPr>
          <w:p w14:paraId="1B6686A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483498" w14:textId="17CD10E1" w:rsidR="00E43930" w:rsidRPr="00E43930" w:rsidRDefault="00E43930" w:rsidP="007A5EA8">
            <w:pPr>
              <w:jc w:val="left"/>
              <w:rPr>
                <w:rFonts w:ascii="Univers Condensed" w:hAnsi="Univers Condensed"/>
                <w:sz w:val="24"/>
                <w:szCs w:val="22"/>
                <w:lang w:val="fr-CA"/>
              </w:rPr>
            </w:pPr>
            <w:r>
              <w:rPr>
                <w:rFonts w:ascii="Univers Condensed" w:hAnsi="Univers Condensed"/>
                <w:sz w:val="24"/>
                <w:szCs w:val="22"/>
                <w:lang w:val="fr-CA"/>
              </w:rPr>
              <w:t>Éché</w:t>
            </w:r>
            <w:r w:rsidR="00AD5C46">
              <w:rPr>
                <w:rFonts w:ascii="Univers Condensed" w:hAnsi="Univers Condensed"/>
                <w:sz w:val="24"/>
                <w:szCs w:val="22"/>
                <w:lang w:val="fr-CA"/>
              </w:rPr>
              <w:t>ancier</w:t>
            </w:r>
          </w:p>
        </w:tc>
        <w:tc>
          <w:tcPr>
            <w:tcW w:w="8777" w:type="dxa"/>
          </w:tcPr>
          <w:p w14:paraId="757AC368" w14:textId="77777777" w:rsidR="00E43930" w:rsidRDefault="00AD5C46">
            <w:pPr>
              <w:rPr>
                <w:rFonts w:ascii="Univers Condensed" w:hAnsi="Univers Condensed"/>
                <w:sz w:val="24"/>
                <w:szCs w:val="22"/>
                <w:lang w:val="fr-CA"/>
              </w:rPr>
            </w:pPr>
            <w:r>
              <w:rPr>
                <w:rFonts w:ascii="Univers Condensed" w:hAnsi="Univers Condensed"/>
                <w:sz w:val="24"/>
                <w:szCs w:val="22"/>
                <w:lang w:val="fr-CA"/>
              </w:rPr>
              <w:t>Présentation au CE/CA : Janvier 2021</w:t>
            </w:r>
          </w:p>
          <w:p w14:paraId="38167E17" w14:textId="009F8DF7" w:rsidR="00AD5C46" w:rsidRPr="00E43930" w:rsidRDefault="00AD5C46">
            <w:pPr>
              <w:rPr>
                <w:rFonts w:ascii="Univers Condensed" w:hAnsi="Univers Condensed"/>
                <w:sz w:val="24"/>
                <w:szCs w:val="22"/>
                <w:lang w:val="fr-CA"/>
              </w:rPr>
            </w:pPr>
            <w:r>
              <w:rPr>
                <w:rFonts w:ascii="Univers Condensed" w:hAnsi="Univers Condensed"/>
                <w:sz w:val="24"/>
                <w:szCs w:val="22"/>
                <w:lang w:val="fr-CA"/>
              </w:rPr>
              <w:t>Entrée en vigueur des nouvelles procédures : Janvier 2021</w:t>
            </w:r>
          </w:p>
        </w:tc>
      </w:tr>
      <w:tr w:rsidR="00E43930" w:rsidRPr="00E43930" w14:paraId="44839C2E" w14:textId="77777777" w:rsidTr="00E43930">
        <w:trPr>
          <w:cantSplit/>
          <w:trHeight w:val="1134"/>
        </w:trPr>
        <w:tc>
          <w:tcPr>
            <w:tcW w:w="10337" w:type="dxa"/>
            <w:gridSpan w:val="3"/>
          </w:tcPr>
          <w:p w14:paraId="1E437E8C"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Émis : 2020-09-17</w:t>
            </w:r>
          </w:p>
          <w:p w14:paraId="693F82A3" w14:textId="728A2915"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R</w:t>
            </w:r>
            <w:r w:rsidR="009F45D0">
              <w:rPr>
                <w:rFonts w:ascii="Univers Condensed" w:hAnsi="Univers Condensed"/>
                <w:sz w:val="24"/>
                <w:szCs w:val="22"/>
                <w:lang w:val="fr-CA"/>
              </w:rPr>
              <w:t>é</w:t>
            </w:r>
            <w:r w:rsidRPr="00E43930">
              <w:rPr>
                <w:rFonts w:ascii="Univers Condensed" w:hAnsi="Univers Condensed"/>
                <w:sz w:val="24"/>
                <w:szCs w:val="22"/>
                <w:lang w:val="fr-CA"/>
              </w:rPr>
              <w:t>visé au CE : 2020-10-0</w:t>
            </w:r>
            <w:r w:rsidR="009F45D0">
              <w:rPr>
                <w:rFonts w:ascii="Univers Condensed" w:hAnsi="Univers Condensed"/>
                <w:sz w:val="24"/>
                <w:szCs w:val="22"/>
                <w:lang w:val="fr-CA"/>
              </w:rPr>
              <w:t>6</w:t>
            </w:r>
          </w:p>
        </w:tc>
      </w:tr>
    </w:tbl>
    <w:p w14:paraId="23E6865F" w14:textId="77777777" w:rsidR="00FE3448" w:rsidRDefault="00FE3448"/>
    <w:sectPr w:rsidR="00FE3448" w:rsidSect="00E43930">
      <w:headerReference w:type="even" r:id="rId7"/>
      <w:headerReference w:type="default" r:id="rId8"/>
      <w:footerReference w:type="even" r:id="rId9"/>
      <w:footerReference w:type="default" r:id="rId10"/>
      <w:headerReference w:type="first" r:id="rId11"/>
      <w:footerReference w:type="first" r:id="rId12"/>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BD57" w14:textId="77777777" w:rsidR="00C20336" w:rsidRDefault="00C20336" w:rsidP="001B5BC9">
      <w:r>
        <w:separator/>
      </w:r>
    </w:p>
  </w:endnote>
  <w:endnote w:type="continuationSeparator" w:id="0">
    <w:p w14:paraId="537A17FB" w14:textId="77777777" w:rsidR="00C20336" w:rsidRDefault="00C20336"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2921" w14:textId="77777777" w:rsidR="00512673" w:rsidRDefault="005126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183DB3CB" w:rsidR="000A3C8D" w:rsidRPr="009F45D0" w:rsidRDefault="009F45D0" w:rsidP="009F45D0">
    <w:pPr>
      <w:pStyle w:val="Pieddepage"/>
      <w:pBdr>
        <w:top w:val="single" w:sz="4" w:space="1" w:color="auto"/>
      </w:pBdr>
      <w:rPr>
        <w:rFonts w:ascii="Univers Condensed" w:hAnsi="Univers Condensed"/>
        <w:sz w:val="16"/>
        <w:szCs w:val="14"/>
        <w:lang w:val="fr-CA"/>
      </w:rPr>
    </w:pPr>
    <w:r w:rsidRPr="009F45D0">
      <w:rPr>
        <w:rFonts w:ascii="Univers Condensed" w:hAnsi="Univers Condensed"/>
        <w:sz w:val="16"/>
        <w:szCs w:val="14"/>
        <w:lang w:val="fr-CA"/>
      </w:rPr>
      <w:t xml:space="preserve">RÉF : </w:t>
    </w:r>
    <w:r w:rsidRPr="009F45D0">
      <w:rPr>
        <w:rFonts w:ascii="Univers Condensed" w:hAnsi="Univers Condensed"/>
        <w:sz w:val="16"/>
        <w:szCs w:val="14"/>
        <w:lang w:val="fr-CA"/>
      </w:rPr>
      <w:fldChar w:fldCharType="begin"/>
    </w:r>
    <w:r w:rsidRPr="009F45D0">
      <w:rPr>
        <w:rFonts w:ascii="Univers Condensed" w:hAnsi="Univers Condensed"/>
        <w:sz w:val="16"/>
        <w:szCs w:val="14"/>
        <w:lang w:val="fr-CA"/>
      </w:rPr>
      <w:instrText xml:space="preserve"> FILENAME  \* Upper  \* MERGEFORMAT </w:instrText>
    </w:r>
    <w:r w:rsidRPr="009F45D0">
      <w:rPr>
        <w:rFonts w:ascii="Univers Condensed" w:hAnsi="Univers Condensed"/>
        <w:sz w:val="16"/>
        <w:szCs w:val="14"/>
        <w:lang w:val="fr-CA"/>
      </w:rPr>
      <w:fldChar w:fldCharType="separate"/>
    </w:r>
    <w:r w:rsidR="00512673">
      <w:rPr>
        <w:rFonts w:ascii="Univers Condensed" w:hAnsi="Univers Condensed"/>
        <w:noProof/>
        <w:sz w:val="16"/>
        <w:szCs w:val="14"/>
        <w:lang w:val="fr-CA"/>
      </w:rPr>
      <w:t>MCA20200917-1_MÀJ_20201006.DOCX</w:t>
    </w:r>
    <w:r w:rsidRPr="009F45D0">
      <w:rPr>
        <w:rFonts w:ascii="Univers Condensed" w:hAnsi="Univers Condensed"/>
        <w:sz w:val="16"/>
        <w:szCs w:val="14"/>
        <w:lang w:val="fr-CA"/>
      </w:rPr>
      <w:fldChar w:fldCharType="end"/>
    </w:r>
    <w:r w:rsidRPr="009F45D0">
      <w:rPr>
        <w:rFonts w:ascii="Univers Condensed" w:hAnsi="Univers Condensed"/>
        <w:sz w:val="16"/>
        <w:szCs w:val="14"/>
        <w:lang w:val="fr-CA"/>
      </w:rPr>
      <w:tab/>
    </w:r>
    <w:r>
      <w:rPr>
        <w:rFonts w:ascii="Univers Condensed" w:hAnsi="Univers Condensed"/>
        <w:sz w:val="16"/>
        <w:szCs w:val="14"/>
        <w:lang w:val="fr-CA"/>
      </w:rPr>
      <w:tab/>
    </w:r>
    <w:r>
      <w:rPr>
        <w:rFonts w:ascii="Univers Condensed" w:hAnsi="Univers Condensed"/>
        <w:sz w:val="16"/>
        <w:szCs w:val="14"/>
        <w:lang w:val="fr-CA"/>
      </w:rPr>
      <w:tab/>
      <w:t xml:space="preserve">                          </w:t>
    </w:r>
    <w:r w:rsidRPr="009F45D0">
      <w:rPr>
        <w:rFonts w:ascii="Univers Condensed" w:hAnsi="Univers Condensed"/>
        <w:sz w:val="16"/>
        <w:szCs w:val="14"/>
        <w:lang w:val="fr-CA"/>
      </w:rPr>
      <w:t xml:space="preserve">Page </w:t>
    </w:r>
    <w:r w:rsidRPr="009F45D0">
      <w:rPr>
        <w:rFonts w:ascii="Univers Condensed" w:hAnsi="Univers Condensed"/>
        <w:sz w:val="16"/>
        <w:szCs w:val="14"/>
        <w:lang w:val="fr-CA"/>
      </w:rPr>
      <w:fldChar w:fldCharType="begin"/>
    </w:r>
    <w:r w:rsidRPr="009F45D0">
      <w:rPr>
        <w:rFonts w:ascii="Univers Condensed" w:hAnsi="Univers Condensed"/>
        <w:sz w:val="16"/>
        <w:szCs w:val="14"/>
        <w:lang w:val="fr-CA"/>
      </w:rPr>
      <w:instrText xml:space="preserve"> PAGE  \* Arabic  \* MERGEFORMAT </w:instrText>
    </w:r>
    <w:r w:rsidRPr="009F45D0">
      <w:rPr>
        <w:rFonts w:ascii="Univers Condensed" w:hAnsi="Univers Condensed"/>
        <w:sz w:val="16"/>
        <w:szCs w:val="14"/>
        <w:lang w:val="fr-CA"/>
      </w:rPr>
      <w:fldChar w:fldCharType="separate"/>
    </w:r>
    <w:r w:rsidRPr="009F45D0">
      <w:rPr>
        <w:rFonts w:ascii="Univers Condensed" w:hAnsi="Univers Condensed"/>
        <w:noProof/>
        <w:sz w:val="16"/>
        <w:szCs w:val="14"/>
        <w:lang w:val="fr-CA"/>
      </w:rPr>
      <w:t>1</w:t>
    </w:r>
    <w:r w:rsidRPr="009F45D0">
      <w:rPr>
        <w:rFonts w:ascii="Univers Condensed" w:hAnsi="Univers Condensed"/>
        <w:sz w:val="16"/>
        <w:szCs w:val="14"/>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56CBD" w14:textId="77777777" w:rsidR="00512673" w:rsidRDefault="005126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6992D" w14:textId="77777777" w:rsidR="00C20336" w:rsidRDefault="00C20336" w:rsidP="001B5BC9">
      <w:r>
        <w:separator/>
      </w:r>
    </w:p>
  </w:footnote>
  <w:footnote w:type="continuationSeparator" w:id="0">
    <w:p w14:paraId="440D40EF" w14:textId="77777777" w:rsidR="00C20336" w:rsidRDefault="00C20336"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B809" w14:textId="77777777" w:rsidR="00512673" w:rsidRDefault="005126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4AE1F" w14:textId="77777777" w:rsidR="00512673" w:rsidRDefault="005126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63121B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A3C8D"/>
    <w:rsid w:val="001B5BC9"/>
    <w:rsid w:val="001E68DE"/>
    <w:rsid w:val="00241DE1"/>
    <w:rsid w:val="002807D2"/>
    <w:rsid w:val="002868B6"/>
    <w:rsid w:val="002E239E"/>
    <w:rsid w:val="00440D57"/>
    <w:rsid w:val="004474CD"/>
    <w:rsid w:val="00512673"/>
    <w:rsid w:val="00517D9F"/>
    <w:rsid w:val="00581742"/>
    <w:rsid w:val="005C4182"/>
    <w:rsid w:val="005F29B3"/>
    <w:rsid w:val="00611E02"/>
    <w:rsid w:val="006161D3"/>
    <w:rsid w:val="006D2B7A"/>
    <w:rsid w:val="00716D57"/>
    <w:rsid w:val="0077693C"/>
    <w:rsid w:val="007A5EA8"/>
    <w:rsid w:val="0080194B"/>
    <w:rsid w:val="0086039D"/>
    <w:rsid w:val="009427B6"/>
    <w:rsid w:val="00944327"/>
    <w:rsid w:val="00945284"/>
    <w:rsid w:val="009E17B6"/>
    <w:rsid w:val="009F45D0"/>
    <w:rsid w:val="00A335A9"/>
    <w:rsid w:val="00A648FE"/>
    <w:rsid w:val="00AD5C46"/>
    <w:rsid w:val="00B34CC4"/>
    <w:rsid w:val="00B80A2D"/>
    <w:rsid w:val="00BD6196"/>
    <w:rsid w:val="00C20336"/>
    <w:rsid w:val="00C857D6"/>
    <w:rsid w:val="00DA098A"/>
    <w:rsid w:val="00DC4355"/>
    <w:rsid w:val="00E43930"/>
    <w:rsid w:val="00EB4F2B"/>
    <w:rsid w:val="00F303E8"/>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2020-10-05T23:37:00Z</dcterms:created>
  <dcterms:modified xsi:type="dcterms:W3CDTF">2020-10-05T23:37:00Z</dcterms:modified>
</cp:coreProperties>
</file>